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36A6" w:rsidRPr="00C436A6" w:rsidRDefault="00C436A6" w:rsidP="00C436A6">
      <w:pPr>
        <w:suppressAutoHyphens/>
        <w:autoSpaceDE w:val="0"/>
        <w:spacing w:before="120" w:after="120"/>
        <w:ind w:firstLine="6804"/>
        <w:jc w:val="center"/>
        <w:outlineLvl w:val="0"/>
        <w:rPr>
          <w:b/>
          <w:sz w:val="22"/>
          <w:szCs w:val="22"/>
          <w:lang w:eastAsia="ar-SA"/>
        </w:rPr>
      </w:pPr>
      <w:bookmarkStart w:id="0" w:name="RefSCH8"/>
      <w:bookmarkStart w:id="1" w:name="_Toc502142591"/>
      <w:bookmarkStart w:id="2" w:name="_Toc499813188"/>
      <w:bookmarkStart w:id="3" w:name="_Toc17797201"/>
      <w:r w:rsidRPr="00C436A6">
        <w:rPr>
          <w:b/>
          <w:i/>
          <w:sz w:val="22"/>
          <w:szCs w:val="22"/>
          <w:lang w:eastAsia="ar-SA"/>
        </w:rPr>
        <w:t xml:space="preserve">Приложение </w:t>
      </w:r>
      <w:bookmarkStart w:id="4" w:name="RefSCH8_No"/>
      <w:r w:rsidRPr="00C436A6">
        <w:rPr>
          <w:b/>
          <w:i/>
          <w:sz w:val="22"/>
          <w:szCs w:val="22"/>
          <w:lang w:eastAsia="ar-SA"/>
        </w:rPr>
        <w:t>№</w:t>
      </w:r>
      <w:r w:rsidRPr="00C436A6">
        <w:rPr>
          <w:b/>
          <w:i/>
          <w:sz w:val="22"/>
          <w:szCs w:val="22"/>
          <w:lang w:val="en-US" w:eastAsia="ar-SA"/>
        </w:rPr>
        <w:t> </w:t>
      </w:r>
      <w:bookmarkEnd w:id="0"/>
      <w:bookmarkEnd w:id="4"/>
      <w:r w:rsidR="00E508AD">
        <w:rPr>
          <w:b/>
          <w:i/>
          <w:sz w:val="22"/>
          <w:szCs w:val="22"/>
          <w:lang w:eastAsia="ar-SA"/>
        </w:rPr>
        <w:t>6</w:t>
      </w:r>
      <w:r w:rsidRPr="00C436A6">
        <w:rPr>
          <w:b/>
          <w:i/>
          <w:sz w:val="22"/>
          <w:szCs w:val="22"/>
          <w:lang w:eastAsia="ar-SA"/>
        </w:rPr>
        <w:br/>
      </w:r>
      <w:bookmarkStart w:id="5" w:name="RefSCH8_1"/>
      <w:r w:rsidRPr="00C436A6">
        <w:rPr>
          <w:b/>
          <w:sz w:val="22"/>
          <w:szCs w:val="22"/>
          <w:lang w:eastAsia="ar-SA"/>
        </w:rPr>
        <w:t>Нормативно-техническая документация</w:t>
      </w:r>
      <w:bookmarkEnd w:id="1"/>
      <w:bookmarkEnd w:id="2"/>
      <w:bookmarkEnd w:id="3"/>
      <w:bookmarkEnd w:id="5"/>
    </w:p>
    <w:p w:rsidR="00C436A6" w:rsidRPr="00C436A6" w:rsidRDefault="00C436A6" w:rsidP="00C436A6">
      <w:pPr>
        <w:suppressAutoHyphens/>
        <w:autoSpaceDE w:val="0"/>
        <w:spacing w:before="120" w:after="120"/>
        <w:jc w:val="center"/>
        <w:rPr>
          <w:b/>
          <w:i/>
          <w:sz w:val="22"/>
          <w:szCs w:val="22"/>
          <w:lang w:eastAsia="ar-SA"/>
        </w:rPr>
      </w:pP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Правила технической эксплуатации электрических станций и сетей Российской Федерации.</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СО 34.04.181-2003 Правила организации технического обслуживания и ремонта оборудования, зданий и сооружений электростанций и сетей;</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СНиП 3.01.01-85* «Организация строительного производства»;</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СНиП 1.04.03-85* «Нормы продолжительности строительства предприятий, зданий и сооружений»;</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СНиП 3.05.04-85 «Наружные сети и сооружения»;</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СНиП 41-02-2003 «Тепловые сети»;</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СНиП 41-03-2003 «Тепловая изоляция»;</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СНиП 12-04-2002 «Строительное производство»;</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РД 153-34.0-20.507-98 «Типовая инструкция»;</w:t>
      </w:r>
    </w:p>
    <w:p w:rsidR="00AC7A8E" w:rsidRPr="00AC7A8E" w:rsidRDefault="00AC7A8E" w:rsidP="0094642C">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AC7A8E">
        <w:rPr>
          <w:sz w:val="22"/>
          <w:szCs w:val="22"/>
        </w:rPr>
        <w:t xml:space="preserve">Приказ Минтруда России от 15.12.2020 </w:t>
      </w:r>
      <w:r>
        <w:rPr>
          <w:sz w:val="22"/>
          <w:szCs w:val="22"/>
        </w:rPr>
        <w:t>№</w:t>
      </w:r>
      <w:r w:rsidRPr="00AC7A8E">
        <w:rPr>
          <w:sz w:val="22"/>
          <w:szCs w:val="22"/>
        </w:rPr>
        <w:t xml:space="preserve"> 903н</w:t>
      </w:r>
      <w:r w:rsidRPr="00AC7A8E">
        <w:rPr>
          <w:sz w:val="22"/>
          <w:szCs w:val="22"/>
        </w:rPr>
        <w:t xml:space="preserve"> </w:t>
      </w:r>
      <w:r>
        <w:rPr>
          <w:sz w:val="22"/>
          <w:szCs w:val="22"/>
        </w:rPr>
        <w:t>«</w:t>
      </w:r>
      <w:r w:rsidRPr="00AC7A8E">
        <w:rPr>
          <w:sz w:val="22"/>
          <w:szCs w:val="22"/>
        </w:rPr>
        <w:t>Об утверждении Правил по охране труда при эксплуатации электроустановок</w:t>
      </w:r>
      <w:r>
        <w:rPr>
          <w:sz w:val="22"/>
          <w:szCs w:val="22"/>
        </w:rPr>
        <w:t>»;</w:t>
      </w:r>
    </w:p>
    <w:p w:rsidR="004707EA" w:rsidRPr="004707EA" w:rsidRDefault="004707EA" w:rsidP="0085045C">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4707EA">
        <w:rPr>
          <w:sz w:val="22"/>
          <w:szCs w:val="22"/>
        </w:rPr>
        <w:t xml:space="preserve">Приказ </w:t>
      </w:r>
      <w:proofErr w:type="spellStart"/>
      <w:r w:rsidRPr="004707EA">
        <w:rPr>
          <w:sz w:val="22"/>
          <w:szCs w:val="22"/>
        </w:rPr>
        <w:t>Ростехнадзора</w:t>
      </w:r>
      <w:proofErr w:type="spellEnd"/>
      <w:r w:rsidRPr="004707EA">
        <w:rPr>
          <w:sz w:val="22"/>
          <w:szCs w:val="22"/>
        </w:rPr>
        <w:t xml:space="preserve"> от 15.12.2020 </w:t>
      </w:r>
      <w:r w:rsidRPr="004707EA">
        <w:rPr>
          <w:sz w:val="22"/>
          <w:szCs w:val="22"/>
        </w:rPr>
        <w:t>№</w:t>
      </w:r>
      <w:r w:rsidRPr="004707EA">
        <w:rPr>
          <w:sz w:val="22"/>
          <w:szCs w:val="22"/>
        </w:rPr>
        <w:t xml:space="preserve"> 536</w:t>
      </w:r>
      <w:r w:rsidRPr="004707EA">
        <w:rPr>
          <w:sz w:val="22"/>
          <w:szCs w:val="22"/>
        </w:rPr>
        <w:t xml:space="preserve"> «</w:t>
      </w:r>
      <w:r w:rsidRPr="004707EA">
        <w:rPr>
          <w:sz w:val="22"/>
          <w:szCs w:val="22"/>
        </w:rPr>
        <w:t xml:space="preserve">Об утверждении федеральных норм и правил в области промышленной безопасности </w:t>
      </w:r>
      <w:r w:rsidRPr="004707EA">
        <w:rPr>
          <w:sz w:val="22"/>
          <w:szCs w:val="22"/>
        </w:rPr>
        <w:t>«</w:t>
      </w:r>
      <w:r w:rsidRPr="004707EA">
        <w:rPr>
          <w:sz w:val="22"/>
          <w:szCs w:val="22"/>
        </w:rPr>
        <w:t>Правила промышленной безопасности при использовании оборудования, работающего под избыточным давлением</w:t>
      </w:r>
      <w:r w:rsidRPr="004707EA">
        <w:rPr>
          <w:sz w:val="22"/>
          <w:szCs w:val="22"/>
        </w:rPr>
        <w:t>»;</w:t>
      </w:r>
      <w:bookmarkStart w:id="6" w:name="_GoBack"/>
      <w:bookmarkEnd w:id="6"/>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Технический регламент Таможенного союза «О безопасности оборудования, работающего под избыточным давлением» (ТР ТС - 032 - 2013);</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Правила техники безопасности при эксплуатации тепломеханического оборудования электростанций и тепловых сетей. РД 34.03.201-97;</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Правила пожарной безопасности для энергетических предприятий. ВППБ 01-02-95;</w:t>
      </w:r>
    </w:p>
    <w:p w:rsidR="001C7A77" w:rsidRPr="001C7A77" w:rsidRDefault="001C7A77" w:rsidP="00F56979">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1C7A77">
        <w:rPr>
          <w:sz w:val="22"/>
          <w:szCs w:val="22"/>
        </w:rPr>
        <w:t xml:space="preserve">Постановление Правительства РФ от 16.09.2020 </w:t>
      </w:r>
      <w:r>
        <w:rPr>
          <w:sz w:val="22"/>
          <w:szCs w:val="22"/>
        </w:rPr>
        <w:t>№</w:t>
      </w:r>
      <w:r w:rsidRPr="001C7A77">
        <w:rPr>
          <w:sz w:val="22"/>
          <w:szCs w:val="22"/>
        </w:rPr>
        <w:t xml:space="preserve"> 1479</w:t>
      </w:r>
      <w:r w:rsidRPr="001C7A77">
        <w:rPr>
          <w:sz w:val="22"/>
          <w:szCs w:val="22"/>
        </w:rPr>
        <w:t xml:space="preserve"> </w:t>
      </w:r>
      <w:r w:rsidRPr="001C7A77">
        <w:rPr>
          <w:sz w:val="22"/>
          <w:szCs w:val="22"/>
        </w:rPr>
        <w:t>(ред. от 31.12.2020)</w:t>
      </w:r>
      <w:r w:rsidRPr="001C7A77">
        <w:rPr>
          <w:sz w:val="22"/>
          <w:szCs w:val="22"/>
        </w:rPr>
        <w:t xml:space="preserve"> </w:t>
      </w:r>
      <w:r>
        <w:rPr>
          <w:sz w:val="22"/>
          <w:szCs w:val="22"/>
        </w:rPr>
        <w:t>«</w:t>
      </w:r>
      <w:r w:rsidRPr="001C7A77">
        <w:rPr>
          <w:sz w:val="22"/>
          <w:szCs w:val="22"/>
        </w:rPr>
        <w:t>Об утверждении Правил противопожарного режима в Российской Федерации</w:t>
      </w:r>
      <w:r>
        <w:rPr>
          <w:sz w:val="22"/>
          <w:szCs w:val="22"/>
        </w:rPr>
        <w:t>»</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СО 153-34.03.305-2003 Инструкция о мерах пожарной безопасности при проведении огневых работ на энергетических предприятиях;</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СНиП 21-01-97 «Пожарная безопасность зданий и сооружений»;</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СО 153-34.03.204 Правила безопасности при работе с инструментами и приспособлениями;</w:t>
      </w:r>
    </w:p>
    <w:p w:rsidR="001C7A77" w:rsidRPr="001C7A77" w:rsidRDefault="001C7A77" w:rsidP="00F31B4F">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1C7A77">
        <w:rPr>
          <w:sz w:val="22"/>
          <w:szCs w:val="22"/>
        </w:rPr>
        <w:t xml:space="preserve">Приказ Минтруда России от 28.10.2020 </w:t>
      </w:r>
      <w:r>
        <w:rPr>
          <w:sz w:val="22"/>
          <w:szCs w:val="22"/>
        </w:rPr>
        <w:t>№</w:t>
      </w:r>
      <w:r w:rsidRPr="001C7A77">
        <w:rPr>
          <w:sz w:val="22"/>
          <w:szCs w:val="22"/>
        </w:rPr>
        <w:t xml:space="preserve"> 753н</w:t>
      </w:r>
      <w:r w:rsidRPr="001C7A77">
        <w:rPr>
          <w:sz w:val="22"/>
          <w:szCs w:val="22"/>
        </w:rPr>
        <w:t xml:space="preserve"> </w:t>
      </w:r>
      <w:r>
        <w:rPr>
          <w:sz w:val="22"/>
          <w:szCs w:val="22"/>
        </w:rPr>
        <w:t>«</w:t>
      </w:r>
      <w:r w:rsidRPr="001C7A77">
        <w:rPr>
          <w:sz w:val="22"/>
          <w:szCs w:val="22"/>
        </w:rPr>
        <w:t>Об утверждении Правил по охране труда при погрузочно-разгрузочных работах и размещении грузов</w:t>
      </w:r>
      <w:r>
        <w:rPr>
          <w:sz w:val="22"/>
          <w:szCs w:val="22"/>
        </w:rPr>
        <w:t>»</w:t>
      </w:r>
    </w:p>
    <w:p w:rsidR="001C7A77" w:rsidRPr="001C7A77" w:rsidRDefault="001C7A77" w:rsidP="00354C47">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1C7A77">
        <w:rPr>
          <w:sz w:val="22"/>
          <w:szCs w:val="22"/>
        </w:rPr>
        <w:t xml:space="preserve">Приказ </w:t>
      </w:r>
      <w:proofErr w:type="spellStart"/>
      <w:r w:rsidRPr="001C7A77">
        <w:rPr>
          <w:sz w:val="22"/>
          <w:szCs w:val="22"/>
        </w:rPr>
        <w:t>Ростехнадзора</w:t>
      </w:r>
      <w:proofErr w:type="spellEnd"/>
      <w:r w:rsidRPr="001C7A77">
        <w:rPr>
          <w:sz w:val="22"/>
          <w:szCs w:val="22"/>
        </w:rPr>
        <w:t xml:space="preserve"> от 26.11.2020 </w:t>
      </w:r>
      <w:r>
        <w:rPr>
          <w:sz w:val="22"/>
          <w:szCs w:val="22"/>
        </w:rPr>
        <w:t>№</w:t>
      </w:r>
      <w:r w:rsidRPr="001C7A77">
        <w:rPr>
          <w:sz w:val="22"/>
          <w:szCs w:val="22"/>
        </w:rPr>
        <w:t xml:space="preserve"> 461</w:t>
      </w:r>
      <w:r w:rsidRPr="001C7A77">
        <w:rPr>
          <w:sz w:val="22"/>
          <w:szCs w:val="22"/>
        </w:rPr>
        <w:t xml:space="preserve"> </w:t>
      </w:r>
      <w:r>
        <w:rPr>
          <w:sz w:val="22"/>
          <w:szCs w:val="22"/>
        </w:rPr>
        <w:t>«</w:t>
      </w:r>
      <w:r w:rsidRPr="001C7A77">
        <w:rPr>
          <w:sz w:val="22"/>
          <w:szCs w:val="22"/>
        </w:rPr>
        <w:t xml:space="preserve">Об утверждении федеральных норм и правил в области промышленной безопасности </w:t>
      </w:r>
      <w:r>
        <w:rPr>
          <w:sz w:val="22"/>
          <w:szCs w:val="22"/>
        </w:rPr>
        <w:t>«</w:t>
      </w:r>
      <w:r w:rsidRPr="001C7A77">
        <w:rPr>
          <w:sz w:val="22"/>
          <w:szCs w:val="22"/>
        </w:rPr>
        <w:t>Правила безопасности опасных производственных объектов, на которых используются подъемные сооружения</w:t>
      </w:r>
      <w:r>
        <w:rPr>
          <w:sz w:val="22"/>
          <w:szCs w:val="22"/>
        </w:rPr>
        <w:t>»</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СО 34.0-03.702-99 Инструкция по оказанию первой помощи при несчастных случаях на производстве;</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СНиП 12-03-2001 «Безопасность труда в строительстве»;</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СО 34.03.284-96 (РД 34.03.284-96) Инструкция по организации и производству работ повышенной опасности;</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 xml:space="preserve">Типовая инструкция по организации безопасного проведения газоопасных работ, </w:t>
      </w:r>
      <w:r w:rsidRPr="00C436A6">
        <w:rPr>
          <w:sz w:val="22"/>
          <w:szCs w:val="22"/>
        </w:rPr>
        <w:lastRenderedPageBreak/>
        <w:t>утвержденная Госгортехнадзором СССР 20.02.1985;</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СО 34.04.181-2003 «Правила организации технического обслуживания и ремонта оборудования, зданий и сооружений электростанций и сетей»;</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 xml:space="preserve">Инструкция о пропускном и </w:t>
      </w:r>
      <w:proofErr w:type="spellStart"/>
      <w:r w:rsidRPr="00C436A6">
        <w:rPr>
          <w:sz w:val="22"/>
          <w:szCs w:val="22"/>
        </w:rPr>
        <w:t>внутриобъектовом</w:t>
      </w:r>
      <w:proofErr w:type="spellEnd"/>
      <w:r w:rsidRPr="00C436A6">
        <w:rPr>
          <w:sz w:val="22"/>
          <w:szCs w:val="22"/>
        </w:rPr>
        <w:t xml:space="preserve"> режимах на предприятиях Заказчика;</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Правила технической эксплуатации электрических станций и сетей Российской Федерации, утвержденные Приказом Минэнерго России от 19.06.2003 № 229;</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Правила технической эксплуатации тепловых энергоустановок, утвержденные Приказом Минэнерго России от 24.03.2003 № 115;</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 xml:space="preserve">Порядок организации работ по выдаче разрешений на допуск в эксплуатацию энергоустановок, утвержденный Приказом </w:t>
      </w:r>
      <w:proofErr w:type="spellStart"/>
      <w:r w:rsidRPr="00C436A6">
        <w:rPr>
          <w:sz w:val="22"/>
          <w:szCs w:val="22"/>
        </w:rPr>
        <w:t>Ростехнадзора</w:t>
      </w:r>
      <w:proofErr w:type="spellEnd"/>
      <w:r w:rsidRPr="00C436A6">
        <w:rPr>
          <w:sz w:val="22"/>
          <w:szCs w:val="22"/>
        </w:rPr>
        <w:t xml:space="preserve"> от 07.04.2008 № 212.</w:t>
      </w:r>
    </w:p>
    <w:p w:rsidR="00C436A6" w:rsidRPr="00C436A6" w:rsidRDefault="00C436A6" w:rsidP="00C436A6">
      <w:pPr>
        <w:widowControl w:val="0"/>
        <w:autoSpaceDE w:val="0"/>
        <w:autoSpaceDN w:val="0"/>
        <w:adjustRightInd w:val="0"/>
        <w:spacing w:before="120" w:after="120"/>
        <w:ind w:left="284"/>
        <w:jc w:val="both"/>
        <w:rPr>
          <w:sz w:val="22"/>
          <w:szCs w:val="22"/>
        </w:rPr>
      </w:pPr>
      <w:r w:rsidRPr="00C436A6">
        <w:rPr>
          <w:sz w:val="22"/>
          <w:szCs w:val="22"/>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C436A6" w:rsidRPr="00C436A6" w:rsidRDefault="00C436A6" w:rsidP="00C436A6">
      <w:pPr>
        <w:widowControl w:val="0"/>
        <w:tabs>
          <w:tab w:val="left" w:pos="851"/>
        </w:tabs>
        <w:suppressAutoHyphens/>
        <w:autoSpaceDE w:val="0"/>
        <w:spacing w:before="120" w:after="120"/>
        <w:rPr>
          <w:sz w:val="22"/>
          <w:szCs w:val="22"/>
          <w:lang w:eastAsia="ar-SA"/>
        </w:rPr>
      </w:pPr>
    </w:p>
    <w:tbl>
      <w:tblPr>
        <w:tblStyle w:val="3"/>
        <w:tblW w:w="0" w:type="auto"/>
        <w:tblBorders>
          <w:top w:val="nil"/>
          <w:left w:val="nil"/>
          <w:bottom w:val="nil"/>
          <w:right w:val="nil"/>
          <w:insideH w:val="nil"/>
          <w:insideV w:val="nil"/>
        </w:tblBorders>
        <w:tblLook w:val="04A0" w:firstRow="1" w:lastRow="0" w:firstColumn="1" w:lastColumn="0" w:noHBand="0" w:noVBand="1"/>
      </w:tblPr>
      <w:tblGrid>
        <w:gridCol w:w="4829"/>
        <w:gridCol w:w="4741"/>
      </w:tblGrid>
      <w:tr w:rsidR="00C436A6" w:rsidRPr="00C436A6" w:rsidTr="0099450B">
        <w:tc>
          <w:tcPr>
            <w:tcW w:w="4829" w:type="dxa"/>
          </w:tcPr>
          <w:p w:rsidR="00C436A6" w:rsidRPr="00C436A6" w:rsidRDefault="00C436A6" w:rsidP="00C436A6">
            <w:pPr>
              <w:autoSpaceDE w:val="0"/>
              <w:autoSpaceDN w:val="0"/>
              <w:adjustRightInd w:val="0"/>
              <w:jc w:val="both"/>
              <w:rPr>
                <w:b/>
                <w:bCs/>
                <w:sz w:val="22"/>
                <w:szCs w:val="22"/>
              </w:rPr>
            </w:pPr>
          </w:p>
          <w:p w:rsidR="00C436A6" w:rsidRPr="00C436A6" w:rsidRDefault="00C436A6" w:rsidP="00C436A6">
            <w:pPr>
              <w:autoSpaceDE w:val="0"/>
              <w:autoSpaceDN w:val="0"/>
              <w:adjustRightInd w:val="0"/>
              <w:jc w:val="both"/>
              <w:rPr>
                <w:b/>
                <w:bCs/>
                <w:sz w:val="22"/>
                <w:szCs w:val="22"/>
              </w:rPr>
            </w:pPr>
            <w:r>
              <w:rPr>
                <w:b/>
                <w:bCs/>
                <w:sz w:val="22"/>
                <w:szCs w:val="22"/>
              </w:rPr>
              <w:t>Подрядчик</w:t>
            </w:r>
            <w:r w:rsidRPr="00C436A6">
              <w:rPr>
                <w:b/>
                <w:bCs/>
                <w:sz w:val="22"/>
                <w:szCs w:val="22"/>
              </w:rPr>
              <w:t>:</w:t>
            </w:r>
          </w:p>
          <w:p w:rsidR="00C436A6" w:rsidRPr="00C436A6" w:rsidRDefault="00C436A6" w:rsidP="00C436A6">
            <w:r w:rsidRPr="00C436A6">
              <w:rPr>
                <w:sz w:val="22"/>
                <w:szCs w:val="22"/>
              </w:rPr>
              <w:t xml:space="preserve"> </w:t>
            </w:r>
          </w:p>
        </w:tc>
        <w:tc>
          <w:tcPr>
            <w:tcW w:w="4741" w:type="dxa"/>
          </w:tcPr>
          <w:p w:rsidR="00C436A6" w:rsidRPr="00C436A6" w:rsidRDefault="00C436A6" w:rsidP="00C436A6">
            <w:pPr>
              <w:autoSpaceDE w:val="0"/>
              <w:autoSpaceDN w:val="0"/>
              <w:adjustRightInd w:val="0"/>
              <w:rPr>
                <w:b/>
                <w:bCs/>
                <w:sz w:val="22"/>
                <w:szCs w:val="22"/>
              </w:rPr>
            </w:pPr>
          </w:p>
          <w:p w:rsidR="00C436A6" w:rsidRPr="00C436A6" w:rsidRDefault="00C436A6" w:rsidP="00C436A6">
            <w:pPr>
              <w:autoSpaceDE w:val="0"/>
              <w:autoSpaceDN w:val="0"/>
              <w:adjustRightInd w:val="0"/>
              <w:rPr>
                <w:sz w:val="22"/>
                <w:szCs w:val="22"/>
              </w:rPr>
            </w:pPr>
            <w:r>
              <w:rPr>
                <w:b/>
                <w:bCs/>
                <w:sz w:val="22"/>
                <w:szCs w:val="22"/>
              </w:rPr>
              <w:t>Генеральный п</w:t>
            </w:r>
            <w:r w:rsidRPr="00C436A6">
              <w:rPr>
                <w:b/>
                <w:bCs/>
                <w:sz w:val="22"/>
                <w:szCs w:val="22"/>
              </w:rPr>
              <w:t>одрядчик:</w:t>
            </w:r>
          </w:p>
          <w:p w:rsidR="00C436A6" w:rsidRPr="00C436A6" w:rsidRDefault="00C436A6" w:rsidP="00C436A6">
            <w:pPr>
              <w:autoSpaceDE w:val="0"/>
              <w:autoSpaceDN w:val="0"/>
              <w:adjustRightInd w:val="0"/>
              <w:rPr>
                <w:rFonts w:eastAsia="Calibri"/>
                <w:sz w:val="22"/>
                <w:szCs w:val="22"/>
              </w:rPr>
            </w:pPr>
            <w:r w:rsidRPr="00C436A6">
              <w:rPr>
                <w:rFonts w:eastAsia="Calibri"/>
                <w:sz w:val="22"/>
                <w:szCs w:val="22"/>
              </w:rPr>
              <w:t>Генеральный директор</w:t>
            </w:r>
          </w:p>
          <w:p w:rsidR="00C436A6" w:rsidRPr="00C436A6" w:rsidRDefault="00C436A6" w:rsidP="00C436A6">
            <w:pPr>
              <w:autoSpaceDE w:val="0"/>
              <w:autoSpaceDN w:val="0"/>
              <w:adjustRightInd w:val="0"/>
              <w:rPr>
                <w:rFonts w:eastAsia="Calibri"/>
                <w:sz w:val="22"/>
                <w:szCs w:val="22"/>
              </w:rPr>
            </w:pPr>
            <w:r w:rsidRPr="00C436A6">
              <w:rPr>
                <w:rFonts w:eastAsia="Calibri"/>
                <w:sz w:val="22"/>
                <w:szCs w:val="22"/>
              </w:rPr>
              <w:t>ООО «ЕвроСибЭнерго-инжиниринг»</w:t>
            </w:r>
          </w:p>
          <w:p w:rsidR="00C436A6" w:rsidRPr="00C436A6" w:rsidRDefault="00C436A6" w:rsidP="00C436A6">
            <w:pPr>
              <w:tabs>
                <w:tab w:val="left" w:pos="1352"/>
              </w:tabs>
              <w:autoSpaceDE w:val="0"/>
              <w:autoSpaceDN w:val="0"/>
              <w:adjustRightInd w:val="0"/>
              <w:rPr>
                <w:sz w:val="22"/>
                <w:szCs w:val="22"/>
              </w:rPr>
            </w:pPr>
            <w:r w:rsidRPr="00C436A6">
              <w:rPr>
                <w:sz w:val="22"/>
                <w:szCs w:val="22"/>
              </w:rPr>
              <w:tab/>
            </w:r>
          </w:p>
          <w:p w:rsidR="00C436A6" w:rsidRPr="00C436A6" w:rsidRDefault="00C436A6" w:rsidP="00C436A6">
            <w:pPr>
              <w:rPr>
                <w:sz w:val="22"/>
                <w:szCs w:val="22"/>
              </w:rPr>
            </w:pPr>
            <w:r w:rsidRPr="00C436A6">
              <w:rPr>
                <w:sz w:val="22"/>
                <w:szCs w:val="22"/>
              </w:rPr>
              <w:t>__________________/</w:t>
            </w:r>
            <w:r w:rsidRPr="00C436A6">
              <w:rPr>
                <w:rFonts w:eastAsiaTheme="minorHAnsi"/>
                <w:b/>
                <w:sz w:val="22"/>
                <w:szCs w:val="22"/>
              </w:rPr>
              <w:t>А.В. Борисычев</w:t>
            </w:r>
            <w:r w:rsidRPr="00C436A6">
              <w:rPr>
                <w:sz w:val="22"/>
                <w:szCs w:val="22"/>
              </w:rPr>
              <w:t>/</w:t>
            </w:r>
          </w:p>
          <w:p w:rsidR="00C436A6" w:rsidRPr="00C436A6" w:rsidRDefault="00C436A6" w:rsidP="00C436A6">
            <w:pPr>
              <w:rPr>
                <w:sz w:val="22"/>
                <w:szCs w:val="22"/>
              </w:rPr>
            </w:pPr>
          </w:p>
          <w:p w:rsidR="00C436A6" w:rsidRPr="00C436A6" w:rsidRDefault="00FF3316" w:rsidP="004000A0">
            <w:r>
              <w:rPr>
                <w:sz w:val="22"/>
                <w:szCs w:val="22"/>
              </w:rPr>
              <w:t>«_____»___________202</w:t>
            </w:r>
            <w:r w:rsidR="004000A0">
              <w:rPr>
                <w:sz w:val="22"/>
                <w:szCs w:val="22"/>
              </w:rPr>
              <w:t>1</w:t>
            </w:r>
            <w:r w:rsidR="00C436A6" w:rsidRPr="00C436A6">
              <w:rPr>
                <w:sz w:val="22"/>
                <w:szCs w:val="22"/>
              </w:rPr>
              <w:t xml:space="preserve"> г. </w:t>
            </w:r>
          </w:p>
        </w:tc>
      </w:tr>
    </w:tbl>
    <w:p w:rsidR="004D04E9" w:rsidRDefault="004D04E9"/>
    <w:sectPr w:rsidR="004D04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F92A83F2">
      <w:start w:val="1"/>
      <w:numFmt w:val="decimal"/>
      <w:lvlText w:val="%1."/>
      <w:lvlJc w:val="left"/>
      <w:pPr>
        <w:ind w:left="720" w:hanging="360"/>
      </w:pPr>
      <w:rPr>
        <w:rFonts w:hint="default"/>
        <w:sz w:val="24"/>
        <w:szCs w:val="24"/>
      </w:rPr>
    </w:lvl>
    <w:lvl w:ilvl="1" w:tplc="5B5A1FFC" w:tentative="1">
      <w:start w:val="1"/>
      <w:numFmt w:val="lowerLetter"/>
      <w:lvlText w:val="%2."/>
      <w:lvlJc w:val="left"/>
      <w:pPr>
        <w:ind w:left="1440" w:hanging="360"/>
      </w:pPr>
    </w:lvl>
    <w:lvl w:ilvl="2" w:tplc="6E68E9B0" w:tentative="1">
      <w:start w:val="1"/>
      <w:numFmt w:val="lowerRoman"/>
      <w:lvlText w:val="%3."/>
      <w:lvlJc w:val="right"/>
      <w:pPr>
        <w:ind w:left="2160" w:hanging="180"/>
      </w:pPr>
    </w:lvl>
    <w:lvl w:ilvl="3" w:tplc="B6069C18" w:tentative="1">
      <w:start w:val="1"/>
      <w:numFmt w:val="decimal"/>
      <w:lvlText w:val="%4."/>
      <w:lvlJc w:val="left"/>
      <w:pPr>
        <w:ind w:left="2880" w:hanging="360"/>
      </w:pPr>
    </w:lvl>
    <w:lvl w:ilvl="4" w:tplc="DE20EE1C" w:tentative="1">
      <w:start w:val="1"/>
      <w:numFmt w:val="lowerLetter"/>
      <w:lvlText w:val="%5."/>
      <w:lvlJc w:val="left"/>
      <w:pPr>
        <w:ind w:left="3600" w:hanging="360"/>
      </w:pPr>
    </w:lvl>
    <w:lvl w:ilvl="5" w:tplc="537E9D92" w:tentative="1">
      <w:start w:val="1"/>
      <w:numFmt w:val="lowerRoman"/>
      <w:lvlText w:val="%6."/>
      <w:lvlJc w:val="right"/>
      <w:pPr>
        <w:ind w:left="4320" w:hanging="180"/>
      </w:pPr>
    </w:lvl>
    <w:lvl w:ilvl="6" w:tplc="651EB464" w:tentative="1">
      <w:start w:val="1"/>
      <w:numFmt w:val="decimal"/>
      <w:lvlText w:val="%7."/>
      <w:lvlJc w:val="left"/>
      <w:pPr>
        <w:ind w:left="5040" w:hanging="360"/>
      </w:pPr>
    </w:lvl>
    <w:lvl w:ilvl="7" w:tplc="02BC1F6E" w:tentative="1">
      <w:start w:val="1"/>
      <w:numFmt w:val="lowerLetter"/>
      <w:lvlText w:val="%8."/>
      <w:lvlJc w:val="left"/>
      <w:pPr>
        <w:ind w:left="5760" w:hanging="360"/>
      </w:pPr>
    </w:lvl>
    <w:lvl w:ilvl="8" w:tplc="04244F6C"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515"/>
    <w:rsid w:val="000A2515"/>
    <w:rsid w:val="001C7A77"/>
    <w:rsid w:val="004000A0"/>
    <w:rsid w:val="004707EA"/>
    <w:rsid w:val="004D04E9"/>
    <w:rsid w:val="00AC7A8E"/>
    <w:rsid w:val="00AF6701"/>
    <w:rsid w:val="00C436A6"/>
    <w:rsid w:val="00E508AD"/>
    <w:rsid w:val="00FF3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C4DEC"/>
  <w15:docId w15:val="{D5E4DD30-A44E-458C-9222-091290879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6701"/>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F6701"/>
    <w:pPr>
      <w:jc w:val="center"/>
    </w:pPr>
    <w:rPr>
      <w:b/>
      <w:bCs/>
    </w:rPr>
  </w:style>
  <w:style w:type="character" w:customStyle="1" w:styleId="a4">
    <w:name w:val="Заголовок Знак"/>
    <w:basedOn w:val="a0"/>
    <w:link w:val="a3"/>
    <w:rsid w:val="00AF6701"/>
    <w:rPr>
      <w:b/>
      <w:bCs/>
      <w:sz w:val="24"/>
      <w:szCs w:val="24"/>
      <w:lang w:eastAsia="ru-RU"/>
    </w:rPr>
  </w:style>
  <w:style w:type="paragraph" w:styleId="a5">
    <w:name w:val="List Paragraph"/>
    <w:basedOn w:val="a"/>
    <w:link w:val="a6"/>
    <w:uiPriority w:val="34"/>
    <w:qFormat/>
    <w:rsid w:val="00AF6701"/>
    <w:pPr>
      <w:ind w:left="720"/>
      <w:contextualSpacing/>
    </w:pPr>
    <w:rPr>
      <w:lang w:eastAsia="en-US"/>
    </w:rPr>
  </w:style>
  <w:style w:type="character" w:customStyle="1" w:styleId="a6">
    <w:name w:val="Абзац списка Знак"/>
    <w:link w:val="a5"/>
    <w:uiPriority w:val="34"/>
    <w:locked/>
    <w:rsid w:val="00AF6701"/>
    <w:rPr>
      <w:sz w:val="24"/>
      <w:szCs w:val="24"/>
    </w:rPr>
  </w:style>
  <w:style w:type="table" w:customStyle="1" w:styleId="3">
    <w:name w:val="Сетка таблицы3"/>
    <w:basedOn w:val="a1"/>
    <w:next w:val="a7"/>
    <w:uiPriority w:val="99"/>
    <w:rsid w:val="00C436A6"/>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7">
    <w:name w:val="Table Grid"/>
    <w:basedOn w:val="a1"/>
    <w:uiPriority w:val="59"/>
    <w:rsid w:val="00C436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534</Words>
  <Characters>3046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Гаврилов Юрий Иванович</dc:creator>
  <cp:keywords/>
  <dc:description/>
  <cp:lastModifiedBy>Lykova Olga</cp:lastModifiedBy>
  <cp:revision>6</cp:revision>
  <dcterms:created xsi:type="dcterms:W3CDTF">2019-09-12T02:47:00Z</dcterms:created>
  <dcterms:modified xsi:type="dcterms:W3CDTF">2021-05-27T01:42:00Z</dcterms:modified>
</cp:coreProperties>
</file>